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55C70" w14:textId="77777777" w:rsidR="00C52F0E" w:rsidRDefault="00C52F0E"/>
    <w:p w14:paraId="5D27FA12" w14:textId="77777777" w:rsidR="00C52F0E" w:rsidRDefault="00000000">
      <w:pPr>
        <w:pStyle w:val="Ttol3"/>
        <w:keepNext w:val="0"/>
        <w:keepLines w:val="0"/>
        <w:spacing w:before="280"/>
        <w:jc w:val="both"/>
        <w:rPr>
          <w:b/>
          <w:color w:val="000000"/>
          <w:sz w:val="22"/>
          <w:szCs w:val="22"/>
        </w:rPr>
      </w:pPr>
      <w:bookmarkStart w:id="0" w:name="_gcvtkyqee95t" w:colFirst="0" w:colLast="0"/>
      <w:bookmarkEnd w:id="0"/>
      <w:r>
        <w:rPr>
          <w:b/>
          <w:color w:val="000000"/>
          <w:sz w:val="22"/>
          <w:szCs w:val="22"/>
        </w:rPr>
        <w:t>CONTRACTE BASAT DE SUBMINISTRAMENT DE VEHICLES URBANS, SERVEIS POLICIALS, PROTECCIÓ CIVIL, MOTOCICLETES, ELEMENTS D’EQUIPAMENT ADDICIONAL I PUNTS DE RECÀRREGA ELÈCTRICA AMB DESTINACIÓ A LES ENTITATS LOCALS DE LES ILLES BALEARS MITJANÇANT L’ACORD MARC DE LA CENTRAL DE CONTRACTACIÓ DE LA FELIB (1/2024)</w:t>
      </w:r>
    </w:p>
    <w:p w14:paraId="61B16605" w14:textId="77777777" w:rsidR="00C52F0E" w:rsidRDefault="00000000">
      <w:pPr>
        <w:spacing w:before="240" w:after="240"/>
        <w:jc w:val="both"/>
        <w:rPr>
          <w:b/>
        </w:rPr>
      </w:pPr>
      <w:r>
        <w:rPr>
          <w:b/>
        </w:rPr>
        <w:t>ANTECEDENTS</w:t>
      </w:r>
    </w:p>
    <w:p w14:paraId="6DA3B3B7" w14:textId="77777777" w:rsidR="00C52F0E" w:rsidRDefault="00000000">
      <w:pPr>
        <w:numPr>
          <w:ilvl w:val="0"/>
          <w:numId w:val="1"/>
        </w:numPr>
        <w:spacing w:before="240"/>
        <w:jc w:val="both"/>
      </w:pPr>
      <w:r>
        <w:t xml:space="preserve">L’Ajuntament / Consell Insular de ______________ és una entitat local associada a la Federació d’Entitats Locals de les Illes Balears (FELIB),  i al mateix temps figura en el Plec de Condicions Administratives Particulars (PCAP) com a entitat destinatària de l’Acord marc 1/2024. En el PCAP es detalla en el seu </w:t>
      </w:r>
      <w:r>
        <w:rPr>
          <w:i/>
        </w:rPr>
        <w:t>Document adjunt 1</w:t>
      </w:r>
      <w:r>
        <w:t xml:space="preserve"> les entitats adherides a la Central de contractació de la FELIB, habilitació que permet ser destinatària de l’Acord marc 1/2024 pel subministrament de vehicles urbans, serveis policials, protecció civil, motocicletes, elements d’equipament addicional, així com punts de recàrrega elèctrics i la seva gestió (expedient 1/2024).</w:t>
      </w:r>
    </w:p>
    <w:p w14:paraId="3C3274E2" w14:textId="77777777" w:rsidR="00C52F0E" w:rsidRDefault="00000000">
      <w:pPr>
        <w:numPr>
          <w:ilvl w:val="0"/>
          <w:numId w:val="1"/>
        </w:numPr>
        <w:jc w:val="both"/>
      </w:pPr>
      <w:r>
        <w:t>La Central de contractació de la FELIB, mitjançant l’aprovació de l’expedient de contractació i procediment administratiu de licitació de conformitat amb els plecs de clàusules administratives particulars i prescripcions tècniques aprovats per Resolució de la Presidència, de data 22 de febrer de 2024, van concloure després de la valoració dels criteris d’adjudicació amb l’adjudicació el dia 9 de juliol de 2024, també publicada al perfil de contractant.</w:t>
      </w:r>
    </w:p>
    <w:p w14:paraId="76BAD040" w14:textId="77777777" w:rsidR="00C52F0E" w:rsidRDefault="00000000">
      <w:pPr>
        <w:numPr>
          <w:ilvl w:val="0"/>
          <w:numId w:val="1"/>
        </w:numPr>
        <w:jc w:val="both"/>
      </w:pPr>
      <w:r>
        <w:t>En data ________, es va formalitzar aquest contracte entre la FELIB i ___________ (nom de l’empresa adjudicatària) com a empresa adjudicatària de l’acord marc.</w:t>
      </w:r>
    </w:p>
    <w:p w14:paraId="77D41265" w14:textId="77777777" w:rsidR="00C52F0E" w:rsidRDefault="00000000">
      <w:pPr>
        <w:numPr>
          <w:ilvl w:val="0"/>
          <w:numId w:val="1"/>
        </w:numPr>
        <w:spacing w:after="240"/>
        <w:jc w:val="both"/>
      </w:pPr>
      <w:r>
        <w:t>L’Ajuntament / Consell Insular de ______________ requereix dels subministraments/serveis objecte d’aquest Acord marc per tal de prestar els serveis que són de la seva competència.</w:t>
      </w:r>
    </w:p>
    <w:p w14:paraId="1DD2A34E" w14:textId="77777777" w:rsidR="00C52F0E" w:rsidRDefault="00000000">
      <w:pPr>
        <w:spacing w:before="240" w:after="240"/>
        <w:jc w:val="both"/>
        <w:rPr>
          <w:b/>
        </w:rPr>
      </w:pPr>
      <w:r>
        <w:rPr>
          <w:b/>
        </w:rPr>
        <w:t>FONAMENTS DE DRET</w:t>
      </w:r>
    </w:p>
    <w:p w14:paraId="34CFAF7E" w14:textId="77777777" w:rsidR="00C52F0E" w:rsidRDefault="00000000">
      <w:pPr>
        <w:numPr>
          <w:ilvl w:val="0"/>
          <w:numId w:val="2"/>
        </w:numPr>
        <w:spacing w:before="240"/>
        <w:jc w:val="both"/>
      </w:pPr>
      <w:r>
        <w:t>Disposició addicional segona de la LCSP pel que fa a la competència de l’òrgan de contractació.</w:t>
      </w:r>
    </w:p>
    <w:p w14:paraId="1E8C4B8B" w14:textId="77777777" w:rsidR="00C52F0E" w:rsidRDefault="00000000">
      <w:pPr>
        <w:numPr>
          <w:ilvl w:val="0"/>
          <w:numId w:val="2"/>
        </w:numPr>
        <w:jc w:val="both"/>
      </w:pPr>
      <w:r>
        <w:t>Disposició addicional tercera de la LCSP apartat 10 en relació a la Disposició addicional cinquena de la LBRL.</w:t>
      </w:r>
    </w:p>
    <w:p w14:paraId="073AD403" w14:textId="77777777" w:rsidR="00C52F0E" w:rsidRDefault="00000000">
      <w:pPr>
        <w:numPr>
          <w:ilvl w:val="0"/>
          <w:numId w:val="2"/>
        </w:numPr>
        <w:jc w:val="both"/>
      </w:pPr>
      <w:r>
        <w:t>Articles 227 i següents de la LCSP en relació a la Disposició Addicional cinquena de la LBRL respecte a la creació i règim de centrals de contractació i l’adhesió a aquestes.</w:t>
      </w:r>
    </w:p>
    <w:p w14:paraId="76E439A0" w14:textId="77777777" w:rsidR="00C52F0E" w:rsidRDefault="00000000">
      <w:pPr>
        <w:numPr>
          <w:ilvl w:val="0"/>
          <w:numId w:val="2"/>
        </w:numPr>
        <w:jc w:val="both"/>
      </w:pPr>
      <w:r>
        <w:t>Articles 219 a 222 de la LCSP en relació a la regulació règim jurídic dels Acords marc i especialment en l’article 221.4 LCSP quan no tots els termes estiguin determinats en la selecció de l’Acord marc.</w:t>
      </w:r>
    </w:p>
    <w:p w14:paraId="2C83945B" w14:textId="77777777" w:rsidR="00C52F0E" w:rsidRDefault="00000000">
      <w:pPr>
        <w:numPr>
          <w:ilvl w:val="0"/>
          <w:numId w:val="2"/>
        </w:numPr>
        <w:jc w:val="both"/>
      </w:pPr>
      <w:r>
        <w:t>Article 153 de la LCSP pel que fa a la no necessària formalització del contracte basat en un Acord marc.</w:t>
      </w:r>
    </w:p>
    <w:p w14:paraId="4EDF29D2" w14:textId="77777777" w:rsidR="00C52F0E" w:rsidRDefault="00000000">
      <w:pPr>
        <w:numPr>
          <w:ilvl w:val="0"/>
          <w:numId w:val="2"/>
        </w:numPr>
        <w:jc w:val="both"/>
      </w:pPr>
      <w:r>
        <w:t>Apartat V del PCAP que comprèn les clàusules 36 a 45 del PCAP i especialment la clàusula 36 PCAP respecte a l’adjudicació dels contractes basats.</w:t>
      </w:r>
    </w:p>
    <w:p w14:paraId="6254310F" w14:textId="77777777" w:rsidR="00C52F0E" w:rsidRDefault="00000000">
      <w:pPr>
        <w:numPr>
          <w:ilvl w:val="0"/>
          <w:numId w:val="2"/>
        </w:numPr>
        <w:spacing w:after="240"/>
        <w:jc w:val="both"/>
      </w:pPr>
      <w:r>
        <w:t>Els contractes basats en un Acord marc tenen caràcter administratiu i es regeixen pel PCAP i PPT objecte de la licitació, així com per la resta de normativa concordant aplicable que resulti d’aplicació en matèria de contractació.</w:t>
      </w:r>
    </w:p>
    <w:p w14:paraId="52EAE922" w14:textId="77777777" w:rsidR="00C52F0E" w:rsidRDefault="00C52F0E">
      <w:pPr>
        <w:jc w:val="both"/>
      </w:pPr>
    </w:p>
    <w:p w14:paraId="18FEB1A5" w14:textId="77777777" w:rsidR="00C52F0E" w:rsidRDefault="00000000">
      <w:pPr>
        <w:jc w:val="both"/>
      </w:pPr>
      <w:r>
        <w:t xml:space="preserve">Per tot això, d’acord amb els antecedents esmentats i els fonaments de dret assenyalats, aquesta entitat </w:t>
      </w:r>
    </w:p>
    <w:p w14:paraId="7DF1B6D1" w14:textId="77777777" w:rsidR="00C52F0E" w:rsidRDefault="00C52F0E">
      <w:pPr>
        <w:jc w:val="both"/>
      </w:pPr>
    </w:p>
    <w:p w14:paraId="3CFF72C0" w14:textId="77777777" w:rsidR="00C52F0E" w:rsidRDefault="00000000">
      <w:pPr>
        <w:spacing w:before="240" w:after="240"/>
        <w:jc w:val="both"/>
        <w:rPr>
          <w:b/>
        </w:rPr>
      </w:pPr>
      <w:r>
        <w:rPr>
          <w:b/>
        </w:rPr>
        <w:t>ACORDA</w:t>
      </w:r>
    </w:p>
    <w:p w14:paraId="2EE20F49" w14:textId="77777777" w:rsidR="00C52F0E" w:rsidRDefault="00000000">
      <w:pPr>
        <w:spacing w:before="240" w:after="240"/>
        <w:jc w:val="both"/>
      </w:pPr>
      <w:r>
        <w:rPr>
          <w:b/>
        </w:rPr>
        <w:t>Primer.</w:t>
      </w:r>
      <w:r>
        <w:t>- Disposar l’adhesió del municipi/Consell Insular de ___________________ a l’Acord marc de subministrament de vehicles urbans, serveis policials, protecció civil, motocicletes, elements d’equipament addicional, així com punts de recàrrega elèctrics i la seva gestió (Expedient 1/2024).</w:t>
      </w:r>
    </w:p>
    <w:p w14:paraId="31712DB3" w14:textId="77777777" w:rsidR="00C52F0E" w:rsidRDefault="00000000">
      <w:pPr>
        <w:spacing w:before="240" w:after="240"/>
        <w:jc w:val="both"/>
      </w:pPr>
      <w:r>
        <w:rPr>
          <w:b/>
        </w:rPr>
        <w:t xml:space="preserve">Segon.- </w:t>
      </w:r>
      <w:r>
        <w:t>Aprovar la contractació a l’empresa seleccionada de l’Acord marc _______ (nom de l’empresa adjudicatària) els serveis següents:</w:t>
      </w:r>
    </w:p>
    <w:tbl>
      <w:tblPr>
        <w:tblStyle w:val="a"/>
        <w:tblW w:w="8885" w:type="dxa"/>
        <w:tblInd w:w="99" w:type="dxa"/>
        <w:tblBorders>
          <w:top w:val="nil"/>
          <w:left w:val="nil"/>
          <w:bottom w:val="nil"/>
          <w:right w:val="nil"/>
          <w:insideH w:val="nil"/>
          <w:insideV w:val="nil"/>
        </w:tblBorders>
        <w:tblLayout w:type="fixed"/>
        <w:tblLook w:val="0600" w:firstRow="0" w:lastRow="0" w:firstColumn="0" w:lastColumn="0" w:noHBand="1" w:noVBand="1"/>
      </w:tblPr>
      <w:tblGrid>
        <w:gridCol w:w="2306"/>
        <w:gridCol w:w="2268"/>
        <w:gridCol w:w="851"/>
        <w:gridCol w:w="992"/>
        <w:gridCol w:w="1134"/>
        <w:gridCol w:w="1334"/>
      </w:tblGrid>
      <w:tr w:rsidR="00DC5C4D" w14:paraId="63D4A519" w14:textId="77777777" w:rsidTr="00DC5C4D">
        <w:trPr>
          <w:trHeight w:val="558"/>
        </w:trPr>
        <w:tc>
          <w:tcPr>
            <w:tcW w:w="2306" w:type="dxa"/>
            <w:tcBorders>
              <w:top w:val="single" w:sz="4" w:space="0" w:color="000000"/>
              <w:left w:val="single" w:sz="4" w:space="0" w:color="000000"/>
              <w:bottom w:val="single" w:sz="4" w:space="0" w:color="000000"/>
              <w:right w:val="single" w:sz="4" w:space="0" w:color="000000"/>
            </w:tcBorders>
            <w:shd w:val="clear" w:color="auto" w:fill="D9D2E9"/>
            <w:tcMar>
              <w:top w:w="100" w:type="dxa"/>
              <w:left w:w="100" w:type="dxa"/>
              <w:bottom w:w="100" w:type="dxa"/>
              <w:right w:w="100" w:type="dxa"/>
            </w:tcMar>
          </w:tcPr>
          <w:p w14:paraId="5DF2FF1F" w14:textId="0D5C681B" w:rsidR="00DC5C4D" w:rsidRDefault="00DC5C4D" w:rsidP="00DC5C4D">
            <w:pPr>
              <w:jc w:val="center"/>
              <w:rPr>
                <w:sz w:val="14"/>
                <w:szCs w:val="14"/>
              </w:rPr>
            </w:pPr>
            <w:r w:rsidRPr="00241CC1">
              <w:t>Tipus de Vehicle / Servei</w:t>
            </w:r>
          </w:p>
        </w:tc>
        <w:tc>
          <w:tcPr>
            <w:tcW w:w="2268" w:type="dxa"/>
            <w:tcBorders>
              <w:top w:val="single" w:sz="4" w:space="0" w:color="000000"/>
              <w:left w:val="single" w:sz="4" w:space="0" w:color="000000"/>
              <w:bottom w:val="single" w:sz="4" w:space="0" w:color="000000"/>
              <w:right w:val="single" w:sz="4" w:space="0" w:color="000000"/>
            </w:tcBorders>
            <w:shd w:val="clear" w:color="auto" w:fill="D9D2E9"/>
            <w:tcMar>
              <w:top w:w="100" w:type="dxa"/>
              <w:left w:w="100" w:type="dxa"/>
              <w:bottom w:w="100" w:type="dxa"/>
              <w:right w:w="100" w:type="dxa"/>
            </w:tcMar>
          </w:tcPr>
          <w:p w14:paraId="4E3232F6" w14:textId="39E2B872" w:rsidR="00DC5C4D" w:rsidRDefault="00DC5C4D" w:rsidP="00DC5C4D">
            <w:pPr>
              <w:rPr>
                <w:b/>
                <w:sz w:val="14"/>
                <w:szCs w:val="14"/>
              </w:rPr>
            </w:pPr>
            <w:r w:rsidRPr="00241CC1">
              <w:t>Model</w:t>
            </w:r>
          </w:p>
        </w:tc>
        <w:tc>
          <w:tcPr>
            <w:tcW w:w="851" w:type="dxa"/>
            <w:tcBorders>
              <w:top w:val="single" w:sz="4" w:space="0" w:color="000000"/>
              <w:left w:val="single" w:sz="4" w:space="0" w:color="000000"/>
              <w:bottom w:val="single" w:sz="4" w:space="0" w:color="000000"/>
              <w:right w:val="single" w:sz="4" w:space="0" w:color="000000"/>
            </w:tcBorders>
            <w:shd w:val="clear" w:color="auto" w:fill="D9D2E9"/>
            <w:tcMar>
              <w:top w:w="100" w:type="dxa"/>
              <w:left w:w="100" w:type="dxa"/>
              <w:bottom w:w="100" w:type="dxa"/>
              <w:right w:w="100" w:type="dxa"/>
            </w:tcMar>
          </w:tcPr>
          <w:p w14:paraId="76D9D404" w14:textId="7F76A662" w:rsidR="00DC5C4D" w:rsidRDefault="00DC5C4D" w:rsidP="00DC5C4D">
            <w:pPr>
              <w:rPr>
                <w:sz w:val="14"/>
                <w:szCs w:val="14"/>
              </w:rPr>
            </w:pPr>
            <w:r w:rsidRPr="00241CC1">
              <w:t>Lot</w:t>
            </w:r>
          </w:p>
        </w:tc>
        <w:tc>
          <w:tcPr>
            <w:tcW w:w="992" w:type="dxa"/>
            <w:tcBorders>
              <w:top w:val="single" w:sz="4" w:space="0" w:color="000000"/>
              <w:left w:val="single" w:sz="4" w:space="0" w:color="000000"/>
              <w:bottom w:val="single" w:sz="4" w:space="0" w:color="000000"/>
              <w:right w:val="single" w:sz="4" w:space="0" w:color="000000"/>
            </w:tcBorders>
            <w:shd w:val="clear" w:color="auto" w:fill="D9D2E9"/>
            <w:tcMar>
              <w:top w:w="100" w:type="dxa"/>
              <w:left w:w="100" w:type="dxa"/>
              <w:bottom w:w="100" w:type="dxa"/>
              <w:right w:w="100" w:type="dxa"/>
            </w:tcMar>
          </w:tcPr>
          <w:p w14:paraId="414CB3E1" w14:textId="14BA12BB" w:rsidR="00DC5C4D" w:rsidRDefault="00DC5C4D" w:rsidP="00DC5C4D">
            <w:pPr>
              <w:rPr>
                <w:sz w:val="14"/>
                <w:szCs w:val="14"/>
              </w:rPr>
            </w:pPr>
            <w:r w:rsidRPr="00241CC1">
              <w:t>Quantitat</w:t>
            </w:r>
          </w:p>
        </w:tc>
        <w:tc>
          <w:tcPr>
            <w:tcW w:w="1134" w:type="dxa"/>
            <w:tcBorders>
              <w:top w:val="single" w:sz="4" w:space="0" w:color="000000"/>
              <w:left w:val="single" w:sz="4" w:space="0" w:color="000000"/>
              <w:bottom w:val="single" w:sz="4" w:space="0" w:color="000000"/>
              <w:right w:val="single" w:sz="4" w:space="0" w:color="000000"/>
            </w:tcBorders>
            <w:shd w:val="clear" w:color="auto" w:fill="D9D2E9"/>
            <w:tcMar>
              <w:top w:w="100" w:type="dxa"/>
              <w:left w:w="100" w:type="dxa"/>
              <w:bottom w:w="100" w:type="dxa"/>
              <w:right w:w="100" w:type="dxa"/>
            </w:tcMar>
          </w:tcPr>
          <w:p w14:paraId="58EA40CE" w14:textId="17610916" w:rsidR="00DC5C4D" w:rsidRDefault="00DC5C4D" w:rsidP="00DC5C4D">
            <w:pPr>
              <w:rPr>
                <w:sz w:val="14"/>
                <w:szCs w:val="14"/>
              </w:rPr>
            </w:pPr>
            <w:r w:rsidRPr="00241CC1">
              <w:t>Import unitari</w:t>
            </w:r>
          </w:p>
        </w:tc>
        <w:tc>
          <w:tcPr>
            <w:tcW w:w="1334" w:type="dxa"/>
            <w:tcBorders>
              <w:top w:val="single" w:sz="4" w:space="0" w:color="000000"/>
              <w:left w:val="single" w:sz="4" w:space="0" w:color="000000"/>
              <w:bottom w:val="single" w:sz="4" w:space="0" w:color="000000"/>
              <w:right w:val="single" w:sz="4" w:space="0" w:color="000000"/>
            </w:tcBorders>
            <w:shd w:val="clear" w:color="auto" w:fill="D9D2E9"/>
            <w:tcMar>
              <w:top w:w="100" w:type="dxa"/>
              <w:left w:w="100" w:type="dxa"/>
              <w:bottom w:w="100" w:type="dxa"/>
              <w:right w:w="100" w:type="dxa"/>
            </w:tcMar>
          </w:tcPr>
          <w:p w14:paraId="799BA9F9" w14:textId="08AE3DF7" w:rsidR="00DC5C4D" w:rsidRDefault="00DC5C4D" w:rsidP="00DC5C4D">
            <w:pPr>
              <w:rPr>
                <w:b/>
                <w:sz w:val="14"/>
                <w:szCs w:val="14"/>
              </w:rPr>
            </w:pPr>
            <w:r w:rsidRPr="00241CC1">
              <w:t xml:space="preserve">Import global </w:t>
            </w:r>
          </w:p>
        </w:tc>
      </w:tr>
      <w:tr w:rsidR="00DC5C4D" w14:paraId="4AD5224F" w14:textId="77777777" w:rsidTr="00DC5C4D">
        <w:trPr>
          <w:trHeight w:val="329"/>
        </w:trPr>
        <w:tc>
          <w:tcPr>
            <w:tcW w:w="230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FCEA2CB" w14:textId="1F8BD33F" w:rsidR="00DC5C4D" w:rsidRDefault="00DC5C4D" w:rsidP="00DC5C4D">
            <w:pPr>
              <w:jc w:val="both"/>
              <w:rPr>
                <w:sz w:val="18"/>
                <w:szCs w:val="18"/>
              </w:rPr>
            </w:pP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5484978" w14:textId="77777777" w:rsidR="00DC5C4D" w:rsidRDefault="00DC5C4D" w:rsidP="00DC5C4D">
            <w:pPr>
              <w:jc w:val="both"/>
              <w:rPr>
                <w:sz w:val="18"/>
                <w:szCs w:val="18"/>
              </w:rPr>
            </w:pPr>
          </w:p>
        </w:tc>
        <w:tc>
          <w:tcPr>
            <w:tcW w:w="85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1376706" w14:textId="5233E4CD" w:rsidR="00DC5C4D" w:rsidRDefault="00DC5C4D" w:rsidP="00DC5C4D">
            <w:pPr>
              <w:jc w:val="both"/>
              <w:rPr>
                <w:sz w:val="18"/>
                <w:szCs w:val="18"/>
              </w:rPr>
            </w:pP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5781044" w14:textId="2BDD648D" w:rsidR="00DC5C4D" w:rsidRDefault="00DC5C4D" w:rsidP="00DC5C4D">
            <w:pPr>
              <w:jc w:val="both"/>
              <w:rPr>
                <w:sz w:val="18"/>
                <w:szCs w:val="18"/>
              </w:rPr>
            </w:pPr>
          </w:p>
        </w:tc>
        <w:tc>
          <w:tcPr>
            <w:tcW w:w="11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A14FEA8" w14:textId="016AC953" w:rsidR="00DC5C4D" w:rsidRDefault="00DC5C4D" w:rsidP="00DC5C4D">
            <w:pPr>
              <w:jc w:val="both"/>
              <w:rPr>
                <w:sz w:val="18"/>
                <w:szCs w:val="18"/>
              </w:rPr>
            </w:pPr>
            <w:r w:rsidRPr="00241CC1">
              <w:t>(sense IVA)</w:t>
            </w:r>
          </w:p>
        </w:tc>
        <w:tc>
          <w:tcPr>
            <w:tcW w:w="13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27A59D6" w14:textId="18D518BE" w:rsidR="00DC5C4D" w:rsidRDefault="00DC5C4D" w:rsidP="00DC5C4D">
            <w:pPr>
              <w:jc w:val="both"/>
              <w:rPr>
                <w:sz w:val="18"/>
                <w:szCs w:val="18"/>
              </w:rPr>
            </w:pPr>
            <w:r w:rsidRPr="00241CC1">
              <w:t>(sense IVA)</w:t>
            </w:r>
          </w:p>
        </w:tc>
      </w:tr>
      <w:tr w:rsidR="00DC5C4D" w14:paraId="05C06711" w14:textId="77777777" w:rsidTr="00DC5C4D">
        <w:trPr>
          <w:trHeight w:val="450"/>
        </w:trPr>
        <w:tc>
          <w:tcPr>
            <w:tcW w:w="230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D921A0C" w14:textId="5045CCEE" w:rsidR="00DC5C4D" w:rsidRDefault="00DC5C4D" w:rsidP="00DC5C4D">
            <w:pPr>
              <w:jc w:val="both"/>
              <w:rPr>
                <w:sz w:val="18"/>
                <w:szCs w:val="18"/>
              </w:rPr>
            </w:pPr>
            <w:r w:rsidRPr="00241CC1">
              <w:t>Vehicle urbà turisme petit</w:t>
            </w: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8FE2709" w14:textId="77777777" w:rsidR="00DC5C4D" w:rsidRDefault="00DC5C4D" w:rsidP="00DC5C4D">
            <w:pPr>
              <w:jc w:val="both"/>
              <w:rPr>
                <w:sz w:val="18"/>
                <w:szCs w:val="18"/>
              </w:rPr>
            </w:pPr>
          </w:p>
        </w:tc>
        <w:tc>
          <w:tcPr>
            <w:tcW w:w="85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92C54AA" w14:textId="20D39F41" w:rsidR="00DC5C4D" w:rsidRDefault="00DC5C4D" w:rsidP="00DC5C4D">
            <w:pPr>
              <w:jc w:val="both"/>
              <w:rPr>
                <w:sz w:val="18"/>
                <w:szCs w:val="18"/>
              </w:rPr>
            </w:pP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4B8FA23" w14:textId="6BEF77DC" w:rsidR="00DC5C4D" w:rsidRDefault="00DC5C4D" w:rsidP="00DC5C4D">
            <w:pPr>
              <w:jc w:val="both"/>
              <w:rPr>
                <w:sz w:val="18"/>
                <w:szCs w:val="18"/>
              </w:rPr>
            </w:pPr>
            <w:r w:rsidRPr="00241CC1">
              <w:t>XX</w:t>
            </w:r>
          </w:p>
        </w:tc>
        <w:tc>
          <w:tcPr>
            <w:tcW w:w="11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760FEA3" w14:textId="1DF04158" w:rsidR="00DC5C4D" w:rsidRDefault="00DC5C4D" w:rsidP="00DC5C4D">
            <w:pPr>
              <w:jc w:val="both"/>
              <w:rPr>
                <w:sz w:val="18"/>
                <w:szCs w:val="18"/>
              </w:rPr>
            </w:pPr>
            <w:r w:rsidRPr="00241CC1">
              <w:t>XX €</w:t>
            </w:r>
          </w:p>
        </w:tc>
        <w:tc>
          <w:tcPr>
            <w:tcW w:w="13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F157899" w14:textId="2D2D77B3" w:rsidR="00DC5C4D" w:rsidRDefault="00DC5C4D" w:rsidP="00DC5C4D">
            <w:pPr>
              <w:jc w:val="both"/>
              <w:rPr>
                <w:sz w:val="18"/>
                <w:szCs w:val="18"/>
              </w:rPr>
            </w:pPr>
            <w:r w:rsidRPr="00241CC1">
              <w:t>XX €</w:t>
            </w:r>
          </w:p>
        </w:tc>
      </w:tr>
      <w:tr w:rsidR="00DC5C4D" w14:paraId="1A693B6D" w14:textId="77777777" w:rsidTr="00DC5C4D">
        <w:trPr>
          <w:trHeight w:val="515"/>
        </w:trPr>
        <w:tc>
          <w:tcPr>
            <w:tcW w:w="230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13EB6B7" w14:textId="2A1B15F5" w:rsidR="00DC5C4D" w:rsidRDefault="00DC5C4D" w:rsidP="00DC5C4D">
            <w:pPr>
              <w:jc w:val="both"/>
              <w:rPr>
                <w:sz w:val="18"/>
                <w:szCs w:val="18"/>
              </w:rPr>
            </w:pPr>
            <w:r w:rsidRPr="00241CC1">
              <w:t>Vehicle urbà turisme mitjà</w:t>
            </w: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DF46585" w14:textId="77777777" w:rsidR="00DC5C4D" w:rsidRDefault="00DC5C4D" w:rsidP="00DC5C4D">
            <w:pPr>
              <w:jc w:val="both"/>
              <w:rPr>
                <w:sz w:val="18"/>
                <w:szCs w:val="18"/>
              </w:rPr>
            </w:pPr>
          </w:p>
        </w:tc>
        <w:tc>
          <w:tcPr>
            <w:tcW w:w="85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3E76D64" w14:textId="6C2626AD" w:rsidR="00DC5C4D" w:rsidRDefault="00DC5C4D" w:rsidP="00DC5C4D">
            <w:pPr>
              <w:jc w:val="both"/>
              <w:rPr>
                <w:sz w:val="18"/>
                <w:szCs w:val="18"/>
              </w:rPr>
            </w:pP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205C7982" w14:textId="2BCA85D6" w:rsidR="00DC5C4D" w:rsidRDefault="00DC5C4D" w:rsidP="00DC5C4D">
            <w:pPr>
              <w:jc w:val="both"/>
              <w:rPr>
                <w:sz w:val="18"/>
                <w:szCs w:val="18"/>
              </w:rPr>
            </w:pPr>
            <w:r w:rsidRPr="00241CC1">
              <w:t>XX</w:t>
            </w:r>
          </w:p>
        </w:tc>
        <w:tc>
          <w:tcPr>
            <w:tcW w:w="11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16AE4473" w14:textId="4339F7F4" w:rsidR="00DC5C4D" w:rsidRDefault="00DC5C4D" w:rsidP="00DC5C4D">
            <w:pPr>
              <w:jc w:val="both"/>
              <w:rPr>
                <w:sz w:val="18"/>
                <w:szCs w:val="18"/>
              </w:rPr>
            </w:pPr>
            <w:r w:rsidRPr="00241CC1">
              <w:t>XX €</w:t>
            </w:r>
          </w:p>
        </w:tc>
        <w:tc>
          <w:tcPr>
            <w:tcW w:w="13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684A98C" w14:textId="2CD266B2" w:rsidR="00DC5C4D" w:rsidRDefault="00DC5C4D" w:rsidP="00DC5C4D">
            <w:pPr>
              <w:jc w:val="both"/>
              <w:rPr>
                <w:sz w:val="18"/>
                <w:szCs w:val="18"/>
              </w:rPr>
            </w:pPr>
            <w:r w:rsidRPr="00241CC1">
              <w:t>XX €</w:t>
            </w:r>
          </w:p>
        </w:tc>
      </w:tr>
      <w:tr w:rsidR="00DC5C4D" w14:paraId="404B8F31" w14:textId="77777777" w:rsidTr="00DC5C4D">
        <w:trPr>
          <w:trHeight w:val="515"/>
        </w:trPr>
        <w:tc>
          <w:tcPr>
            <w:tcW w:w="2306"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521976B9" w14:textId="75395D8B" w:rsidR="00DC5C4D" w:rsidRDefault="00DC5C4D" w:rsidP="00DC5C4D">
            <w:pPr>
              <w:jc w:val="both"/>
              <w:rPr>
                <w:sz w:val="18"/>
                <w:szCs w:val="18"/>
              </w:rPr>
            </w:pPr>
            <w:r w:rsidRPr="00241CC1">
              <w:t xml:space="preserve">Punts de recàrrega </w:t>
            </w:r>
          </w:p>
        </w:tc>
        <w:tc>
          <w:tcPr>
            <w:tcW w:w="2268"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35EC84E7" w14:textId="77777777" w:rsidR="00DC5C4D" w:rsidRDefault="00DC5C4D" w:rsidP="00DC5C4D">
            <w:pPr>
              <w:jc w:val="both"/>
              <w:rPr>
                <w:sz w:val="18"/>
                <w:szCs w:val="18"/>
              </w:rPr>
            </w:pPr>
          </w:p>
        </w:tc>
        <w:tc>
          <w:tcPr>
            <w:tcW w:w="851"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DB368C2" w14:textId="77777777" w:rsidR="00DC5C4D" w:rsidRDefault="00DC5C4D" w:rsidP="00DC5C4D">
            <w:pPr>
              <w:jc w:val="both"/>
              <w:rPr>
                <w:sz w:val="18"/>
                <w:szCs w:val="18"/>
              </w:rPr>
            </w:pPr>
          </w:p>
        </w:tc>
        <w:tc>
          <w:tcPr>
            <w:tcW w:w="992"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76C6C852" w14:textId="34C6953C" w:rsidR="00DC5C4D" w:rsidRDefault="00DC5C4D" w:rsidP="00DC5C4D">
            <w:pPr>
              <w:jc w:val="both"/>
              <w:rPr>
                <w:sz w:val="18"/>
                <w:szCs w:val="18"/>
              </w:rPr>
            </w:pPr>
            <w:r w:rsidRPr="00241CC1">
              <w:t>XX</w:t>
            </w:r>
          </w:p>
        </w:tc>
        <w:tc>
          <w:tcPr>
            <w:tcW w:w="11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42FFD691" w14:textId="4157DC77" w:rsidR="00DC5C4D" w:rsidRDefault="00DC5C4D" w:rsidP="00DC5C4D">
            <w:pPr>
              <w:jc w:val="both"/>
              <w:rPr>
                <w:sz w:val="18"/>
                <w:szCs w:val="18"/>
              </w:rPr>
            </w:pPr>
            <w:r w:rsidRPr="00241CC1">
              <w:t>XX €</w:t>
            </w:r>
          </w:p>
        </w:tc>
        <w:tc>
          <w:tcPr>
            <w:tcW w:w="1334" w:type="dxa"/>
            <w:tcBorders>
              <w:top w:val="single" w:sz="4" w:space="0" w:color="000000"/>
              <w:left w:val="single" w:sz="4" w:space="0" w:color="000000"/>
              <w:bottom w:val="single" w:sz="4" w:space="0" w:color="000000"/>
              <w:right w:val="single" w:sz="4" w:space="0" w:color="000000"/>
            </w:tcBorders>
            <w:tcMar>
              <w:top w:w="100" w:type="dxa"/>
              <w:left w:w="100" w:type="dxa"/>
              <w:bottom w:w="100" w:type="dxa"/>
              <w:right w:w="100" w:type="dxa"/>
            </w:tcMar>
          </w:tcPr>
          <w:p w14:paraId="6BD75E5A" w14:textId="62B18783" w:rsidR="00DC5C4D" w:rsidRDefault="00DC5C4D" w:rsidP="00DC5C4D">
            <w:pPr>
              <w:jc w:val="both"/>
              <w:rPr>
                <w:sz w:val="18"/>
                <w:szCs w:val="18"/>
              </w:rPr>
            </w:pPr>
            <w:r w:rsidRPr="00241CC1">
              <w:t>XX €</w:t>
            </w:r>
          </w:p>
        </w:tc>
      </w:tr>
    </w:tbl>
    <w:p w14:paraId="2DC1253E" w14:textId="77777777" w:rsidR="00C52F0E" w:rsidRDefault="00000000">
      <w:pPr>
        <w:spacing w:before="240" w:after="240"/>
        <w:jc w:val="both"/>
      </w:pPr>
      <w:r>
        <w:rPr>
          <w:b/>
        </w:rPr>
        <w:t xml:space="preserve">Tercer.- </w:t>
      </w:r>
      <w:r>
        <w:t>Aprovar l'autorització i disposició de la despesa per import de __________ que s'imputarà dins del pressupost de l'any ______ a càrrec de l'aplicació pressupostària ____________.</w:t>
      </w:r>
    </w:p>
    <w:p w14:paraId="65BE7837" w14:textId="77777777" w:rsidR="00C52F0E" w:rsidRDefault="00000000">
      <w:pPr>
        <w:spacing w:before="240" w:after="240"/>
        <w:jc w:val="both"/>
      </w:pPr>
      <w:r>
        <w:rPr>
          <w:b/>
        </w:rPr>
        <w:t xml:space="preserve">Quart.- </w:t>
      </w:r>
      <w:r>
        <w:t>Nomenar com a responsable/s del contracte __________ a efectes del seguiment de la seva realització, interlocució amb l’empresa, així com per vetllar per l’execució dels contractes amb aquelles actuacions de control i acreditació dels subministraments realitzats per les empreses adjudicatàries.</w:t>
      </w:r>
    </w:p>
    <w:p w14:paraId="5716B4C4" w14:textId="77777777" w:rsidR="00C52F0E" w:rsidRDefault="00000000">
      <w:pPr>
        <w:spacing w:before="240" w:after="240"/>
        <w:jc w:val="both"/>
      </w:pPr>
      <w:r>
        <w:rPr>
          <w:b/>
        </w:rPr>
        <w:t>Cinquè.- (opcional Garantia definitiva).</w:t>
      </w:r>
      <w:r>
        <w:t xml:space="preserve"> No procedeix en l’Acord marc però sí en els contractes basats en el supòsit que així sigui exigit per part de l’òrgan de contractació. En aquest sentit, presentarà davant l’òrgan de contractació el resguard acreditatiu d’un import equivalent al 5% del preu d’adjudicació del contracte basat de conformitat amb l’article 107 LCSP i amb diferents formes de constituir la garantia previstes a l’article 108 LCSP. Així mateix, el requisit de constitució de garantia definitiva també serà potestatiu pels contractes basats en què els pressupostos de licitació siguin d’import inferior a 15.000 € IVA exclòs.</w:t>
      </w:r>
    </w:p>
    <w:p w14:paraId="1D21946E" w14:textId="77777777" w:rsidR="00C52F0E" w:rsidRDefault="00000000">
      <w:pPr>
        <w:spacing w:before="240" w:after="240"/>
        <w:jc w:val="both"/>
      </w:pPr>
      <w:r>
        <w:rPr>
          <w:b/>
        </w:rPr>
        <w:t xml:space="preserve">Cinquè/Sisè.- </w:t>
      </w:r>
      <w:r>
        <w:t xml:space="preserve">Notificar l’adopció d’aquest acord a l’empresa adjudicatària _______ i a la FELIB, donant-li els efectes de publicitat del contracte basat previstos als articles 151.2, 154.4 i 221.6 de la LCSP. </w:t>
      </w:r>
    </w:p>
    <w:sectPr w:rsidR="00C52F0E">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80065D"/>
    <w:multiLevelType w:val="multilevel"/>
    <w:tmpl w:val="8280F8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F115733"/>
    <w:multiLevelType w:val="multilevel"/>
    <w:tmpl w:val="1C568E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num w:numId="1" w16cid:durableId="501705042">
    <w:abstractNumId w:val="1"/>
  </w:num>
  <w:num w:numId="2" w16cid:durableId="2015837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F0E"/>
    <w:rsid w:val="0012703B"/>
    <w:rsid w:val="00C16C33"/>
    <w:rsid w:val="00C34854"/>
    <w:rsid w:val="00C52F0E"/>
    <w:rsid w:val="00DC5C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4EDD80"/>
  <w15:docId w15:val="{78A90942-705D-4107-8CE6-94A5D8843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ca"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ol1">
    <w:name w:val="heading 1"/>
    <w:basedOn w:val="Normal"/>
    <w:next w:val="Normal"/>
    <w:uiPriority w:val="9"/>
    <w:qFormat/>
    <w:pPr>
      <w:keepNext/>
      <w:keepLines/>
      <w:spacing w:before="400" w:after="120"/>
      <w:outlineLvl w:val="0"/>
    </w:pPr>
    <w:rPr>
      <w:sz w:val="40"/>
      <w:szCs w:val="40"/>
    </w:rPr>
  </w:style>
  <w:style w:type="paragraph" w:styleId="Ttol2">
    <w:name w:val="heading 2"/>
    <w:basedOn w:val="Normal"/>
    <w:next w:val="Normal"/>
    <w:uiPriority w:val="9"/>
    <w:unhideWhenUsed/>
    <w:qFormat/>
    <w:pPr>
      <w:keepNext/>
      <w:keepLines/>
      <w:spacing w:before="360" w:after="120"/>
      <w:outlineLvl w:val="1"/>
    </w:pPr>
    <w:rPr>
      <w:sz w:val="32"/>
      <w:szCs w:val="32"/>
    </w:rPr>
  </w:style>
  <w:style w:type="paragraph" w:styleId="Ttol3">
    <w:name w:val="heading 3"/>
    <w:basedOn w:val="Normal"/>
    <w:next w:val="Normal"/>
    <w:uiPriority w:val="9"/>
    <w:unhideWhenUsed/>
    <w:qFormat/>
    <w:pPr>
      <w:keepNext/>
      <w:keepLines/>
      <w:spacing w:before="320" w:after="80"/>
      <w:outlineLvl w:val="2"/>
    </w:pPr>
    <w:rPr>
      <w:color w:val="434343"/>
      <w:sz w:val="28"/>
      <w:szCs w:val="28"/>
    </w:rPr>
  </w:style>
  <w:style w:type="paragraph" w:styleId="Ttol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tol5">
    <w:name w:val="heading 5"/>
    <w:basedOn w:val="Normal"/>
    <w:next w:val="Normal"/>
    <w:uiPriority w:val="9"/>
    <w:semiHidden/>
    <w:unhideWhenUsed/>
    <w:qFormat/>
    <w:pPr>
      <w:keepNext/>
      <w:keepLines/>
      <w:spacing w:before="240" w:after="80"/>
      <w:outlineLvl w:val="4"/>
    </w:pPr>
    <w:rPr>
      <w:color w:val="666666"/>
    </w:rPr>
  </w:style>
  <w:style w:type="paragraph" w:styleId="Ttol6">
    <w:name w:val="heading 6"/>
    <w:basedOn w:val="Normal"/>
    <w:next w:val="Normal"/>
    <w:uiPriority w:val="9"/>
    <w:semiHidden/>
    <w:unhideWhenUsed/>
    <w:qFormat/>
    <w:pPr>
      <w:keepNext/>
      <w:keepLines/>
      <w:spacing w:before="240" w:after="80"/>
      <w:outlineLvl w:val="5"/>
    </w:pPr>
    <w:rPr>
      <w:i/>
      <w:color w:val="666666"/>
    </w:rPr>
  </w:style>
  <w:style w:type="character" w:default="1" w:styleId="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ol">
    <w:name w:val="Title"/>
    <w:basedOn w:val="Normal"/>
    <w:next w:val="Normal"/>
    <w:uiPriority w:val="10"/>
    <w:qFormat/>
    <w:pPr>
      <w:keepNext/>
      <w:keepLines/>
      <w:spacing w:after="60"/>
    </w:pPr>
    <w:rPr>
      <w:sz w:val="52"/>
      <w:szCs w:val="52"/>
    </w:rPr>
  </w:style>
  <w:style w:type="paragraph" w:styleId="Subttol">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764</Words>
  <Characters>4207</Characters>
  <Application>Microsoft Office Word</Application>
  <DocSecurity>0</DocSecurity>
  <Lines>35</Lines>
  <Paragraphs>9</Paragraphs>
  <ScaleCrop>false</ScaleCrop>
  <Company/>
  <LinksUpToDate>false</LinksUpToDate>
  <CharactersWithSpaces>4962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Miquel Santandreu</dc:creator>
  <cp:lastModifiedBy>Miquel Santandreu</cp:lastModifiedBy>
  <cp:revision>2</cp:revision>
  <dcterms:created xsi:type="dcterms:W3CDTF">2024-07-26T07:51:00Z</dcterms:created>
  <dcterms:modified xsi:type="dcterms:W3CDTF">2024-07-26T07:51:00Z</dcterms:modified>
</cp:coreProperties>
</file>